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5CD" w:rsidRDefault="002F7C2E" w:rsidP="003D6FF1">
      <w:pPr>
        <w:rPr>
          <w:sz w:val="40"/>
          <w:szCs w:val="44"/>
        </w:rPr>
      </w:pPr>
      <w:r>
        <w:rPr>
          <w:noProof/>
          <w:sz w:val="40"/>
          <w:szCs w:val="44"/>
        </w:rPr>
        <w:drawing>
          <wp:anchor distT="0" distB="0" distL="114300" distR="114300" simplePos="0" relativeHeight="251679744" behindDoc="0" locked="0" layoutInCell="1" allowOverlap="1">
            <wp:simplePos x="0" y="0"/>
            <wp:positionH relativeFrom="column">
              <wp:posOffset>31115</wp:posOffset>
            </wp:positionH>
            <wp:positionV relativeFrom="paragraph">
              <wp:posOffset>-368300</wp:posOffset>
            </wp:positionV>
            <wp:extent cx="895350" cy="895985"/>
            <wp:effectExtent l="19050" t="0" r="0" b="0"/>
            <wp:wrapNone/>
            <wp:docPr id="2050" name="Picture 2" descr="http://www.csuft.edu.cn/xywh_391/xssb/201112/W02011120251864003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csuft.edu.cn/xywh_391/xssb/201112/W0201112025186400335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95350" cy="895985"/>
                    </a:xfrm>
                    <a:prstGeom prst="rect">
                      <a:avLst/>
                    </a:prstGeom>
                    <a:noFill/>
                    <a:ln>
                      <a:noFill/>
                    </a:ln>
                  </pic:spPr>
                </pic:pic>
              </a:graphicData>
            </a:graphic>
          </wp:anchor>
        </w:drawing>
      </w:r>
      <w:r w:rsidR="00DC537B">
        <w:rPr>
          <w:sz w:val="40"/>
          <w:szCs w:val="44"/>
        </w:rPr>
        <w:pict>
          <v:shapetype id="_x0000_t202" coordsize="21600,21600" o:spt="202" path="m,l,21600r21600,l21600,xe">
            <v:stroke joinstyle="miter"/>
            <v:path gradientshapeok="t" o:connecttype="rect"/>
          </v:shapetype>
          <v:shape id="TextBox 4" o:spid="_x0000_s1038" type="#_x0000_t202" style="position:absolute;left:0;text-align:left;margin-left:92.45pt;margin-top:-25.85pt;width:393.75pt;height:38.4pt;z-index:251680768;mso-position-horizontal-relative:text;mso-position-vertical-relative:text" o:gfxdata="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I06r&#10;79YAAAAKAQAADwAAAAAAAAABACAAAAAiAAAAZHJzL2Rvd25yZXYueG1sUEsBAhQAFAAAAAgAh07i&#10;QMVe5W95AQAA9AIAAA4AAAAAAAAAAQAgAAAAJQEAAGRycy9lMm9Eb2MueG1sUEsFBgAAAAAGAAYA&#10;WQEAABAFAAAAAA==&#10;" filled="f" stroked="f">
            <v:textbox style="mso-fit-shape-to-text:t">
              <w:txbxContent>
                <w:p w:rsidR="00D655CD" w:rsidRDefault="00E7181D">
                  <w:pPr>
                    <w:pStyle w:val="a6"/>
                    <w:spacing w:before="0" w:beforeAutospacing="0" w:after="0" w:afterAutospacing="0"/>
                  </w:pPr>
                  <w:r>
                    <w:rPr>
                      <w:rFonts w:ascii="黑体" w:eastAsia="黑体" w:hAnsi="黑体" w:cstheme="minorBidi" w:hint="eastAsia"/>
                      <w:b/>
                      <w:bCs/>
                      <w:color w:val="FF0000"/>
                      <w:spacing w:val="54"/>
                      <w:kern w:val="24"/>
                      <w:sz w:val="48"/>
                      <w:szCs w:val="48"/>
                    </w:rPr>
                    <w:t>中 南 林 业 科 技 大 学</w:t>
                  </w:r>
                </w:p>
              </w:txbxContent>
            </v:textbox>
          </v:shape>
        </w:pict>
      </w:r>
      <w:r w:rsidR="00DC537B">
        <w:rPr>
          <w:sz w:val="40"/>
          <w:szCs w:val="44"/>
        </w:rPr>
        <w:pict>
          <v:shape id="TextBox 5" o:spid="_x0000_s1026" type="#_x0000_t202" style="position:absolute;left:0;text-align:left;margin-left:67.2pt;margin-top:10.6pt;width:422.25pt;height:38.4pt;z-index:251681792;mso-position-horizontal-relative:text;mso-position-vertical-relative:text" o:gfxdata="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cr2ljWAAAACgEAAA8AAAAAAAAAAQAgAAAAIgAAAGRycy9kb3ducmV2LnhtbFBLAQIUABQA&#10;AAAIAIdO4kCEZ3LQuQEAAFsDAAAOAAAAAAAAAAEAIAAAACUBAABkcnMvZTJvRG9jLnhtbFBLBQYA&#10;AAAABgAGAFkBAABQBQAAAAA=&#10;" filled="f" stroked="f">
            <v:textbox style="mso-fit-shape-to-text:t">
              <w:txbxContent>
                <w:p w:rsidR="00D655CD" w:rsidRPr="001A3340" w:rsidRDefault="000E48D2" w:rsidP="000E48D2">
                  <w:pPr>
                    <w:jc w:val="center"/>
                    <w:rPr>
                      <w:sz w:val="22"/>
                      <w:szCs w:val="32"/>
                    </w:rPr>
                  </w:pPr>
                  <w:r w:rsidRPr="001A3340">
                    <w:rPr>
                      <w:rFonts w:ascii="宋体" w:eastAsia="宋体" w:hAnsi="宋体" w:hint="eastAsia"/>
                      <w:b/>
                      <w:bCs/>
                      <w:color w:val="000000" w:themeColor="text1"/>
                      <w:spacing w:val="30"/>
                      <w:kern w:val="0"/>
                      <w:sz w:val="36"/>
                      <w:szCs w:val="32"/>
                    </w:rPr>
                    <w:t>木竹资源高效利用省部共建协同创新中心</w:t>
                  </w:r>
                </w:p>
              </w:txbxContent>
            </v:textbox>
          </v:shape>
        </w:pict>
      </w:r>
    </w:p>
    <w:p w:rsidR="002F7C2E" w:rsidRDefault="002F7C2E" w:rsidP="003D6FF1">
      <w:pPr>
        <w:spacing w:line="360" w:lineRule="exact"/>
        <w:ind w:firstLineChars="200" w:firstLine="480"/>
        <w:rPr>
          <w:rFonts w:ascii="Times New Roman" w:hAnsi="宋体" w:cs="Times New Roman"/>
          <w:kern w:val="0"/>
          <w:sz w:val="24"/>
        </w:rPr>
      </w:pPr>
    </w:p>
    <w:p w:rsidR="001A3340" w:rsidRPr="00D02BFA" w:rsidRDefault="00DC537B" w:rsidP="00D02BFA">
      <w:pPr>
        <w:spacing w:line="360" w:lineRule="exact"/>
        <w:ind w:firstLineChars="200" w:firstLine="480"/>
        <w:rPr>
          <w:rFonts w:ascii="Times New Roman" w:hAnsi="宋体" w:cs="Times New Roman"/>
          <w:kern w:val="0"/>
          <w:sz w:val="24"/>
        </w:rPr>
      </w:pPr>
      <w:r>
        <w:rPr>
          <w:rFonts w:ascii="Times New Roman" w:hAnsi="宋体" w:cs="Times New Roman"/>
          <w:noProof/>
          <w:kern w:val="0"/>
          <w:sz w:val="24"/>
        </w:rPr>
        <w:pict>
          <v:shape id="_x0000_s1045" type="#_x0000_t202" style="position:absolute;left:0;text-align:left;margin-left:336.75pt;margin-top:132.15pt;width:168.95pt;height:29pt;z-index:251699200;mso-height-relative:margin" filled="f" stroked="f">
            <v:textbox style="mso-next-textbox:#_x0000_s1045">
              <w:txbxContent>
                <w:p w:rsidR="00686AC3" w:rsidRPr="00A210F6" w:rsidRDefault="00B133FA" w:rsidP="008D008A">
                  <w:pPr>
                    <w:spacing w:line="200" w:lineRule="exact"/>
                    <w:jc w:val="center"/>
                    <w:rPr>
                      <w:sz w:val="13"/>
                      <w:szCs w:val="18"/>
                    </w:rPr>
                  </w:pPr>
                  <w:r>
                    <w:rPr>
                      <w:rFonts w:hint="eastAsia"/>
                      <w:sz w:val="13"/>
                      <w:szCs w:val="18"/>
                    </w:rPr>
                    <w:t>中心负责人吴义强教授、方向带头人吕建雄研究员分别入选长江学者特聘教授、湖南省芙蓉学者特聘教授</w:t>
                  </w:r>
                </w:p>
              </w:txbxContent>
            </v:textbox>
            <w10:wrap type="square"/>
          </v:shape>
        </w:pict>
      </w:r>
      <w:r w:rsidR="00B133FA">
        <w:rPr>
          <w:rFonts w:ascii="Times New Roman" w:hAnsi="宋体" w:cs="Times New Roman"/>
          <w:noProof/>
          <w:kern w:val="0"/>
          <w:sz w:val="24"/>
        </w:rPr>
        <w:drawing>
          <wp:anchor distT="0" distB="0" distL="114300" distR="114300" simplePos="0" relativeHeight="251698176" behindDoc="0" locked="0" layoutInCell="1" allowOverlap="1" wp14:anchorId="652CB605" wp14:editId="7F4FCA16">
            <wp:simplePos x="0" y="0"/>
            <wp:positionH relativeFrom="margin">
              <wp:posOffset>5348605</wp:posOffset>
            </wp:positionH>
            <wp:positionV relativeFrom="margin">
              <wp:posOffset>634365</wp:posOffset>
            </wp:positionV>
            <wp:extent cx="1073150" cy="1689100"/>
            <wp:effectExtent l="19050" t="0" r="0" b="0"/>
            <wp:wrapSquare wrapText="bothSides"/>
            <wp:docPr id="4" name="图片 4" descr="芙蓉学者特聘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芙蓉学者特聘教授"/>
                    <pic:cNvPicPr>
                      <a:picLocks noChangeAspect="1" noChangeArrowheads="1"/>
                    </pic:cNvPicPr>
                  </pic:nvPicPr>
                  <pic:blipFill>
                    <a:blip r:embed="rId10" cstate="print"/>
                    <a:srcRect l="10889" t="6667" r="14343" b="10133"/>
                    <a:stretch>
                      <a:fillRect/>
                    </a:stretch>
                  </pic:blipFill>
                  <pic:spPr bwMode="auto">
                    <a:xfrm>
                      <a:off x="0" y="0"/>
                      <a:ext cx="1073150" cy="1689100"/>
                    </a:xfrm>
                    <a:prstGeom prst="rect">
                      <a:avLst/>
                    </a:prstGeom>
                    <a:noFill/>
                    <a:ln w="9525">
                      <a:noFill/>
                      <a:miter lim="800000"/>
                      <a:headEnd/>
                      <a:tailEnd/>
                    </a:ln>
                  </pic:spPr>
                </pic:pic>
              </a:graphicData>
            </a:graphic>
          </wp:anchor>
        </w:drawing>
      </w:r>
      <w:r w:rsidR="00B133FA">
        <w:rPr>
          <w:rFonts w:ascii="Times New Roman" w:hAnsi="宋体" w:cs="Times New Roman"/>
          <w:noProof/>
          <w:kern w:val="0"/>
          <w:sz w:val="24"/>
        </w:rPr>
        <w:drawing>
          <wp:anchor distT="0" distB="0" distL="114300" distR="114300" simplePos="0" relativeHeight="251697152" behindDoc="0" locked="0" layoutInCell="1" allowOverlap="1" wp14:anchorId="330899E4" wp14:editId="6C0488E1">
            <wp:simplePos x="0" y="0"/>
            <wp:positionH relativeFrom="column">
              <wp:posOffset>4294505</wp:posOffset>
            </wp:positionH>
            <wp:positionV relativeFrom="paragraph">
              <wp:posOffset>9525</wp:posOffset>
            </wp:positionV>
            <wp:extent cx="1076325" cy="1727200"/>
            <wp:effectExtent l="19050" t="0" r="9525" b="0"/>
            <wp:wrapSquare wrapText="bothSides"/>
            <wp:docPr id="1" name="图片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1"/>
                    <pic:cNvPicPr>
                      <a:picLocks noChangeAspect="1" noChangeArrowheads="1"/>
                    </pic:cNvPicPr>
                  </pic:nvPicPr>
                  <pic:blipFill>
                    <a:blip r:embed="rId11" cstate="print"/>
                    <a:srcRect l="14105" t="6474" r="17383" b="6308"/>
                    <a:stretch>
                      <a:fillRect/>
                    </a:stretch>
                  </pic:blipFill>
                  <pic:spPr bwMode="auto">
                    <a:xfrm>
                      <a:off x="0" y="0"/>
                      <a:ext cx="1076325" cy="1727200"/>
                    </a:xfrm>
                    <a:prstGeom prst="rect">
                      <a:avLst/>
                    </a:prstGeom>
                    <a:noFill/>
                    <a:ln w="9525">
                      <a:noFill/>
                      <a:miter lim="800000"/>
                      <a:headEnd/>
                      <a:tailEnd/>
                    </a:ln>
                  </pic:spPr>
                </pic:pic>
              </a:graphicData>
            </a:graphic>
          </wp:anchor>
        </w:drawing>
      </w:r>
      <w:r w:rsidR="001A3340" w:rsidRPr="006D61FE">
        <w:rPr>
          <w:rFonts w:ascii="Times New Roman" w:hAnsi="宋体" w:cs="Times New Roman"/>
          <w:kern w:val="0"/>
          <w:sz w:val="24"/>
        </w:rPr>
        <w:t>木竹资源高效利用省部共建协同创新中心是在木竹资源高效利用湖南省高校</w:t>
      </w:r>
      <w:r w:rsidR="001A3340" w:rsidRPr="006D61FE">
        <w:rPr>
          <w:rFonts w:ascii="Times New Roman" w:hAnsi="Times New Roman" w:cs="Times New Roman"/>
          <w:kern w:val="0"/>
          <w:sz w:val="24"/>
        </w:rPr>
        <w:t>2011</w:t>
      </w:r>
      <w:r w:rsidR="001A3340" w:rsidRPr="006D61FE">
        <w:rPr>
          <w:rFonts w:ascii="Times New Roman" w:hAnsi="宋体" w:cs="Times New Roman"/>
          <w:kern w:val="0"/>
          <w:sz w:val="24"/>
        </w:rPr>
        <w:t>协同创新中心基础上完善建立的科研平台。中心以中南林业科技大学为依托，先后协同联合中国林业科学研究院、中南大学、宜</w:t>
      </w:r>
      <w:proofErr w:type="gramStart"/>
      <w:r w:rsidR="001A3340" w:rsidRPr="006D61FE">
        <w:rPr>
          <w:rFonts w:ascii="Times New Roman" w:hAnsi="宋体" w:cs="Times New Roman"/>
          <w:kern w:val="0"/>
          <w:sz w:val="24"/>
        </w:rPr>
        <w:t>华生活</w:t>
      </w:r>
      <w:proofErr w:type="gramEnd"/>
      <w:r w:rsidR="001A3340" w:rsidRPr="006D61FE">
        <w:rPr>
          <w:rFonts w:ascii="Times New Roman" w:hAnsi="宋体" w:cs="Times New Roman"/>
          <w:kern w:val="0"/>
          <w:sz w:val="24"/>
        </w:rPr>
        <w:t>科技股份有限公司、湖南省林业科学院、湖南桃花江竹材科技股份有限</w:t>
      </w:r>
      <w:r w:rsidR="00C938B2">
        <w:rPr>
          <w:rFonts w:ascii="Times New Roman" w:hAnsi="宋体" w:cs="Times New Roman"/>
          <w:kern w:val="0"/>
          <w:sz w:val="24"/>
        </w:rPr>
        <w:t>公司、湖南万华</w:t>
      </w:r>
      <w:proofErr w:type="gramStart"/>
      <w:r w:rsidR="00C938B2">
        <w:rPr>
          <w:rFonts w:ascii="Times New Roman" w:hAnsi="宋体" w:cs="Times New Roman"/>
          <w:kern w:val="0"/>
          <w:sz w:val="24"/>
        </w:rPr>
        <w:t>生态板业有限公司</w:t>
      </w:r>
      <w:proofErr w:type="gramEnd"/>
      <w:r w:rsidR="001A3340" w:rsidRPr="006D61FE">
        <w:rPr>
          <w:rFonts w:ascii="Times New Roman" w:hAnsi="宋体" w:cs="Times New Roman"/>
          <w:kern w:val="0"/>
          <w:sz w:val="24"/>
        </w:rPr>
        <w:t>等单位，在中心负责</w:t>
      </w:r>
      <w:r w:rsidR="001A3340" w:rsidRPr="00067FAC">
        <w:rPr>
          <w:rFonts w:ascii="Times New Roman" w:hAnsi="宋体" w:cs="Times New Roman"/>
          <w:color w:val="000000" w:themeColor="text1"/>
          <w:kern w:val="0"/>
          <w:sz w:val="24"/>
        </w:rPr>
        <w:t>人</w:t>
      </w:r>
      <w:r w:rsidR="001A3340" w:rsidRPr="006D61FE">
        <w:rPr>
          <w:rFonts w:ascii="Times New Roman" w:hAnsi="宋体" w:cs="Times New Roman"/>
          <w:kern w:val="0"/>
          <w:sz w:val="24"/>
        </w:rPr>
        <w:t>吴义强</w:t>
      </w:r>
      <w:r w:rsidR="00D02BFA">
        <w:rPr>
          <w:rFonts w:ascii="Times New Roman" w:hAnsi="宋体" w:cs="Times New Roman" w:hint="eastAsia"/>
          <w:kern w:val="0"/>
          <w:sz w:val="24"/>
        </w:rPr>
        <w:t>院士</w:t>
      </w:r>
      <w:bookmarkStart w:id="0" w:name="_GoBack"/>
      <w:bookmarkEnd w:id="0"/>
      <w:r w:rsidR="001A3340" w:rsidRPr="006D61FE">
        <w:rPr>
          <w:rFonts w:ascii="Times New Roman" w:hAnsi="宋体" w:cs="Times New Roman"/>
          <w:kern w:val="0"/>
          <w:sz w:val="24"/>
        </w:rPr>
        <w:t>带领下，汇集了国内木竹资源高效利用方面的优质资源，瞄准湖南省和全国该领域协同创新主攻方向，通过建立协同创新机制，建设成为高起点、高水准、有特色的木竹资源高效利用的重大基础理论创新平台、重大共性关键技术和新产品的研发重地、成果转化推广的孵化基地和国内外有重大影响的学术高地，大大推进了南方乃至全国木竹资源高效利用的技术创新，促进了木竹资源利用加工产业转型升级和竞争力提升</w:t>
      </w:r>
      <w:r w:rsidR="001A3340">
        <w:rPr>
          <w:rFonts w:ascii="Times New Roman" w:hAnsi="宋体" w:cs="Times New Roman" w:hint="eastAsia"/>
          <w:kern w:val="0"/>
          <w:sz w:val="24"/>
        </w:rPr>
        <w:t>；</w:t>
      </w:r>
      <w:r w:rsidR="001A3340" w:rsidRPr="006D61FE">
        <w:rPr>
          <w:rFonts w:ascii="Times New Roman" w:hAnsi="宋体" w:cs="Times New Roman"/>
          <w:kern w:val="0"/>
          <w:sz w:val="24"/>
        </w:rPr>
        <w:t>为实现我国林业资源和林业产业的绿色可持续发展和国家生态文明建设提供强大的技术支撑。</w:t>
      </w:r>
    </w:p>
    <w:p w:rsidR="001A3340" w:rsidRPr="006D61FE" w:rsidRDefault="00D10D32" w:rsidP="003D6FF1">
      <w:pPr>
        <w:spacing w:line="360" w:lineRule="exact"/>
        <w:ind w:firstLineChars="200" w:firstLine="480"/>
        <w:rPr>
          <w:rFonts w:ascii="Times New Roman" w:hAnsi="Times New Roman" w:cs="Times New Roman"/>
          <w:kern w:val="0"/>
          <w:sz w:val="24"/>
        </w:rPr>
      </w:pPr>
      <w:r>
        <w:rPr>
          <w:rFonts w:ascii="Times New Roman" w:hAnsi="宋体" w:cs="Times New Roman"/>
          <w:noProof/>
          <w:kern w:val="0"/>
          <w:sz w:val="24"/>
        </w:rPr>
        <w:drawing>
          <wp:anchor distT="0" distB="0" distL="114300" distR="114300" simplePos="0" relativeHeight="251696128" behindDoc="0" locked="0" layoutInCell="1" allowOverlap="1">
            <wp:simplePos x="0" y="0"/>
            <wp:positionH relativeFrom="column">
              <wp:posOffset>40005</wp:posOffset>
            </wp:positionH>
            <wp:positionV relativeFrom="paragraph">
              <wp:posOffset>98425</wp:posOffset>
            </wp:positionV>
            <wp:extent cx="2025650" cy="1358900"/>
            <wp:effectExtent l="19050" t="0" r="0" b="0"/>
            <wp:wrapSquare wrapText="bothSides"/>
            <wp:docPr id="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9"/>
                    <pic:cNvPicPr>
                      <a:picLocks noChangeAspect="1" noChangeArrowheads="1"/>
                    </pic:cNvPicPr>
                  </pic:nvPicPr>
                  <pic:blipFill>
                    <a:blip r:embed="rId12" cstate="print"/>
                    <a:srcRect l="14971" t="56981" r="15622" b="12705"/>
                    <a:stretch>
                      <a:fillRect/>
                    </a:stretch>
                  </pic:blipFill>
                  <pic:spPr bwMode="auto">
                    <a:xfrm>
                      <a:off x="0" y="0"/>
                      <a:ext cx="2025650" cy="1358900"/>
                    </a:xfrm>
                    <a:prstGeom prst="rect">
                      <a:avLst/>
                    </a:prstGeom>
                    <a:noFill/>
                    <a:ln w="9525">
                      <a:noFill/>
                      <a:miter lim="800000"/>
                      <a:headEnd/>
                      <a:tailEnd/>
                    </a:ln>
                  </pic:spPr>
                </pic:pic>
              </a:graphicData>
            </a:graphic>
          </wp:anchor>
        </w:drawing>
      </w:r>
      <w:r w:rsidR="00DC537B">
        <w:rPr>
          <w:rFonts w:ascii="Times New Roman" w:hAnsi="宋体" w:cs="Times New Roman"/>
          <w:noProof/>
          <w:kern w:val="0"/>
          <w:sz w:val="24"/>
        </w:rPr>
        <w:pict>
          <v:shape id="_x0000_s1043" type="#_x0000_t202" style="position:absolute;left:0;text-align:left;margin-left:-6.85pt;margin-top:114.75pt;width:168.95pt;height:29pt;z-index:251695104;mso-position-horizontal-relative:text;mso-position-vertical-relative:text;mso-height-relative:margin" filled="f" stroked="f">
            <v:textbox style="mso-next-textbox:#_x0000_s1043">
              <w:txbxContent>
                <w:p w:rsidR="008D008A" w:rsidRPr="00A210F6" w:rsidRDefault="003D6FF1" w:rsidP="008D008A">
                  <w:pPr>
                    <w:spacing w:line="200" w:lineRule="exact"/>
                    <w:jc w:val="center"/>
                    <w:rPr>
                      <w:sz w:val="13"/>
                      <w:szCs w:val="18"/>
                    </w:rPr>
                  </w:pPr>
                  <w:r>
                    <w:rPr>
                      <w:rFonts w:hint="eastAsia"/>
                      <w:sz w:val="13"/>
                      <w:szCs w:val="18"/>
                    </w:rPr>
                    <w:t>全国政协主席俞正声（左二）在</w:t>
                  </w:r>
                  <w:r w:rsidR="008D008A">
                    <w:rPr>
                      <w:rFonts w:hint="eastAsia"/>
                      <w:sz w:val="13"/>
                      <w:szCs w:val="18"/>
                    </w:rPr>
                    <w:t>协同单位宜华集团董事长刘绍喜（左</w:t>
                  </w:r>
                  <w:r>
                    <w:rPr>
                      <w:rFonts w:hint="eastAsia"/>
                      <w:sz w:val="13"/>
                      <w:szCs w:val="18"/>
                    </w:rPr>
                    <w:t>三</w:t>
                  </w:r>
                  <w:r w:rsidR="008D008A">
                    <w:rPr>
                      <w:rFonts w:hint="eastAsia"/>
                      <w:sz w:val="13"/>
                      <w:szCs w:val="18"/>
                    </w:rPr>
                    <w:t>）</w:t>
                  </w:r>
                  <w:r>
                    <w:rPr>
                      <w:rFonts w:hint="eastAsia"/>
                      <w:sz w:val="13"/>
                      <w:szCs w:val="18"/>
                    </w:rPr>
                    <w:t>陪同下参观协同中心技术转移单位</w:t>
                  </w:r>
                </w:p>
              </w:txbxContent>
            </v:textbox>
            <w10:wrap type="square"/>
          </v:shape>
        </w:pict>
      </w:r>
      <w:r w:rsidR="001A3340" w:rsidRPr="006D61FE">
        <w:rPr>
          <w:rFonts w:ascii="Times New Roman" w:hAnsi="宋体" w:cs="Times New Roman"/>
          <w:kern w:val="0"/>
          <w:sz w:val="24"/>
        </w:rPr>
        <w:t>中心组建了一支</w:t>
      </w:r>
      <w:r w:rsidR="001A3340" w:rsidRPr="00067FAC">
        <w:rPr>
          <w:rFonts w:ascii="Times New Roman" w:hAnsi="宋体" w:cs="Times New Roman"/>
          <w:kern w:val="0"/>
          <w:sz w:val="24"/>
        </w:rPr>
        <w:t>由</w:t>
      </w:r>
      <w:r w:rsidR="00067FAC" w:rsidRPr="00067FAC">
        <w:rPr>
          <w:rFonts w:ascii="Times New Roman" w:hAnsi="宋体" w:cs="Times New Roman"/>
          <w:kern w:val="0"/>
          <w:sz w:val="24"/>
        </w:rPr>
        <w:t>中国工程院院士</w:t>
      </w:r>
      <w:r w:rsidR="00067FAC">
        <w:rPr>
          <w:rFonts w:ascii="Times New Roman" w:hAnsi="宋体" w:cs="Times New Roman"/>
          <w:kern w:val="0"/>
          <w:sz w:val="24"/>
        </w:rPr>
        <w:t>、</w:t>
      </w:r>
      <w:r w:rsidR="001A3340">
        <w:rPr>
          <w:rFonts w:ascii="Times New Roman" w:hAnsi="宋体" w:cs="Times New Roman" w:hint="eastAsia"/>
          <w:kern w:val="0"/>
          <w:sz w:val="24"/>
        </w:rPr>
        <w:t>“</w:t>
      </w:r>
      <w:r w:rsidR="001A3340" w:rsidRPr="006D61FE">
        <w:rPr>
          <w:rFonts w:ascii="Times New Roman" w:hAnsi="宋体" w:cs="Times New Roman"/>
          <w:kern w:val="0"/>
          <w:sz w:val="24"/>
        </w:rPr>
        <w:t>长江学者</w:t>
      </w:r>
      <w:r w:rsidR="001A3340">
        <w:rPr>
          <w:rFonts w:ascii="Times New Roman" w:hAnsi="宋体" w:cs="Times New Roman" w:hint="eastAsia"/>
          <w:kern w:val="0"/>
          <w:sz w:val="24"/>
        </w:rPr>
        <w:t>”</w:t>
      </w:r>
      <w:r w:rsidR="001A3340" w:rsidRPr="006D61FE">
        <w:rPr>
          <w:rFonts w:ascii="Times New Roman" w:hAnsi="宋体" w:cs="Times New Roman"/>
          <w:kern w:val="0"/>
          <w:sz w:val="24"/>
        </w:rPr>
        <w:t>特聘教授、国家杰青、国家</w:t>
      </w:r>
      <w:r w:rsidR="001A3340">
        <w:rPr>
          <w:rFonts w:ascii="Times New Roman" w:hAnsi="宋体" w:cs="Times New Roman" w:hint="eastAsia"/>
          <w:kern w:val="0"/>
          <w:sz w:val="24"/>
        </w:rPr>
        <w:t>“</w:t>
      </w:r>
      <w:r w:rsidR="001A3340" w:rsidRPr="006D61FE">
        <w:rPr>
          <w:rFonts w:ascii="Times New Roman" w:hAnsi="宋体" w:cs="Times New Roman"/>
          <w:kern w:val="0"/>
          <w:sz w:val="24"/>
        </w:rPr>
        <w:t>千人计划</w:t>
      </w:r>
      <w:r w:rsidR="001A3340">
        <w:rPr>
          <w:rFonts w:ascii="Times New Roman" w:hAnsi="宋体" w:cs="Times New Roman" w:hint="eastAsia"/>
          <w:kern w:val="0"/>
          <w:sz w:val="24"/>
        </w:rPr>
        <w:t>”</w:t>
      </w:r>
      <w:r w:rsidR="001A3340" w:rsidRPr="006D61FE">
        <w:rPr>
          <w:rFonts w:ascii="Times New Roman" w:hAnsi="宋体" w:cs="Times New Roman"/>
          <w:kern w:val="0"/>
          <w:sz w:val="24"/>
        </w:rPr>
        <w:t>学者、国家</w:t>
      </w:r>
      <w:r w:rsidR="001A3340">
        <w:rPr>
          <w:rFonts w:ascii="Times New Roman" w:hAnsi="宋体" w:cs="Times New Roman" w:hint="eastAsia"/>
          <w:kern w:val="0"/>
          <w:sz w:val="24"/>
        </w:rPr>
        <w:t>“</w:t>
      </w:r>
      <w:r w:rsidR="001A3340" w:rsidRPr="006D61FE">
        <w:rPr>
          <w:rFonts w:ascii="Times New Roman" w:hAnsi="宋体" w:cs="Times New Roman"/>
          <w:kern w:val="0"/>
          <w:sz w:val="24"/>
        </w:rPr>
        <w:t>万人计划</w:t>
      </w:r>
      <w:r w:rsidR="001A3340">
        <w:rPr>
          <w:rFonts w:ascii="Times New Roman" w:hAnsi="宋体" w:cs="Times New Roman" w:hint="eastAsia"/>
          <w:kern w:val="0"/>
          <w:sz w:val="24"/>
        </w:rPr>
        <w:t>”</w:t>
      </w:r>
      <w:r w:rsidR="001A3340" w:rsidRPr="006D61FE">
        <w:rPr>
          <w:rFonts w:ascii="Times New Roman" w:hAnsi="宋体" w:cs="Times New Roman"/>
          <w:kern w:val="0"/>
          <w:sz w:val="24"/>
        </w:rPr>
        <w:t>学者、全国创新争先奖获得者、国家中青年科技创新领军人才、新世纪百千万国家级工程人选、国务院学位委员会学科组评议成员、国际木材科学院院士、教育部新世纪优秀人才、湖南省</w:t>
      </w:r>
      <w:r w:rsidR="001A3340" w:rsidRPr="006D61FE">
        <w:rPr>
          <w:rFonts w:ascii="Times New Roman" w:hAnsi="Times New Roman" w:cs="Times New Roman"/>
          <w:kern w:val="0"/>
          <w:sz w:val="24"/>
        </w:rPr>
        <w:t>“</w:t>
      </w:r>
      <w:r w:rsidR="001A3340" w:rsidRPr="006D61FE">
        <w:rPr>
          <w:rFonts w:ascii="Times New Roman" w:hAnsi="宋体" w:cs="Times New Roman"/>
          <w:kern w:val="0"/>
          <w:sz w:val="24"/>
        </w:rPr>
        <w:t>芙蓉学者</w:t>
      </w:r>
      <w:r w:rsidR="001A3340" w:rsidRPr="006D61FE">
        <w:rPr>
          <w:rFonts w:ascii="Times New Roman" w:hAnsi="Times New Roman" w:cs="Times New Roman"/>
          <w:kern w:val="0"/>
          <w:sz w:val="24"/>
        </w:rPr>
        <w:t>”</w:t>
      </w:r>
      <w:r w:rsidR="001A3340" w:rsidRPr="006D61FE">
        <w:rPr>
          <w:rFonts w:ascii="Times New Roman" w:hAnsi="宋体" w:cs="Times New Roman"/>
          <w:kern w:val="0"/>
          <w:sz w:val="24"/>
        </w:rPr>
        <w:t>等杰出科技领军人才为主要骨干的创新研究队伍。拥有核磁共振波谱仪、裂解</w:t>
      </w:r>
      <w:r w:rsidR="001A3340" w:rsidRPr="006D61FE">
        <w:rPr>
          <w:rFonts w:ascii="Times New Roman" w:hAnsi="Times New Roman" w:cs="Times New Roman"/>
          <w:kern w:val="0"/>
          <w:sz w:val="24"/>
        </w:rPr>
        <w:t>-</w:t>
      </w:r>
      <w:r w:rsidR="001A3340" w:rsidRPr="006D61FE">
        <w:rPr>
          <w:rFonts w:ascii="Times New Roman" w:hAnsi="宋体" w:cs="Times New Roman"/>
          <w:kern w:val="0"/>
          <w:sz w:val="24"/>
        </w:rPr>
        <w:t>气相质谱仪、环境扫描显微镜</w:t>
      </w:r>
      <w:r w:rsidR="001A3340" w:rsidRPr="006D61FE">
        <w:rPr>
          <w:rFonts w:ascii="Times New Roman" w:hAnsi="Times New Roman" w:cs="Times New Roman"/>
          <w:kern w:val="0"/>
          <w:sz w:val="24"/>
        </w:rPr>
        <w:t>-</w:t>
      </w:r>
      <w:r w:rsidR="001A3340" w:rsidRPr="006D61FE">
        <w:rPr>
          <w:rFonts w:ascii="Times New Roman" w:hAnsi="宋体" w:cs="Times New Roman"/>
          <w:kern w:val="0"/>
          <w:sz w:val="24"/>
        </w:rPr>
        <w:t>能谱仪等一大批高精尖仪器，总值</w:t>
      </w:r>
      <w:r w:rsidR="001A3340" w:rsidRPr="006D61FE">
        <w:rPr>
          <w:rFonts w:ascii="Times New Roman" w:hAnsi="Times New Roman" w:cs="Times New Roman"/>
          <w:kern w:val="0"/>
          <w:sz w:val="24"/>
        </w:rPr>
        <w:t>1.2</w:t>
      </w:r>
      <w:r w:rsidR="001A3340" w:rsidRPr="006D61FE">
        <w:rPr>
          <w:rFonts w:ascii="Times New Roman" w:hAnsi="宋体" w:cs="Times New Roman"/>
          <w:kern w:val="0"/>
          <w:sz w:val="24"/>
        </w:rPr>
        <w:t>亿余元。近年来，与伦敦大学学院、美国威斯康辛大学、路易斯安那州立大学、加拿大多伦多大学、哥伦比亚大学、日本京都大学等国际知名高校与科研院所建立了广泛的合作交流与人才培养关系，每年选派多名优秀青年研究人员与研究生赴国外交流访问、开展合作研究。</w:t>
      </w:r>
    </w:p>
    <w:p w:rsidR="001A3340" w:rsidRDefault="00421ECD" w:rsidP="003D6FF1">
      <w:pPr>
        <w:spacing w:line="360" w:lineRule="exact"/>
        <w:ind w:firstLineChars="200" w:firstLine="480"/>
        <w:rPr>
          <w:rFonts w:ascii="Times New Roman" w:hAnsi="宋体" w:cs="Times New Roman"/>
          <w:kern w:val="0"/>
          <w:sz w:val="24"/>
        </w:rPr>
      </w:pPr>
      <w:r>
        <w:rPr>
          <w:rFonts w:ascii="宋体" w:hAnsi="宋体" w:cs="宋体"/>
          <w:noProof/>
          <w:kern w:val="0"/>
          <w:sz w:val="24"/>
        </w:rPr>
        <w:drawing>
          <wp:anchor distT="0" distB="0" distL="114300" distR="114300" simplePos="0" relativeHeight="251691008" behindDoc="0" locked="0" layoutInCell="1" allowOverlap="1">
            <wp:simplePos x="0" y="0"/>
            <wp:positionH relativeFrom="column">
              <wp:posOffset>5526405</wp:posOffset>
            </wp:positionH>
            <wp:positionV relativeFrom="paragraph">
              <wp:posOffset>1343025</wp:posOffset>
            </wp:positionV>
            <wp:extent cx="844550" cy="1270000"/>
            <wp:effectExtent l="19050" t="0" r="0" b="0"/>
            <wp:wrapSquare wrapText="bothSides"/>
            <wp:docPr id="147" name="图片 14" descr="获奖1  国家科技二等奖-高性能竹基纤维复合材料制造关键技术与应用-单位证书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获奖1  国家科技二等奖-高性能竹基纤维复合材料制造关键技术与应用-单位证书_页面_2"/>
                    <pic:cNvPicPr>
                      <a:picLocks noChangeAspect="1" noChangeArrowheads="1"/>
                    </pic:cNvPicPr>
                  </pic:nvPicPr>
                  <pic:blipFill>
                    <a:blip r:embed="rId13" cstate="print"/>
                    <a:srcRect l="3760" r="4422" b="1500"/>
                    <a:stretch>
                      <a:fillRect/>
                    </a:stretch>
                  </pic:blipFill>
                  <pic:spPr bwMode="auto">
                    <a:xfrm>
                      <a:off x="0" y="0"/>
                      <a:ext cx="844550" cy="1270000"/>
                    </a:xfrm>
                    <a:prstGeom prst="rect">
                      <a:avLst/>
                    </a:prstGeom>
                    <a:noFill/>
                    <a:ln w="9525">
                      <a:noFill/>
                      <a:miter lim="800000"/>
                      <a:headEnd/>
                      <a:tailEnd/>
                    </a:ln>
                  </pic:spPr>
                </pic:pic>
              </a:graphicData>
            </a:graphic>
          </wp:anchor>
        </w:drawing>
      </w:r>
      <w:r>
        <w:rPr>
          <w:rFonts w:ascii="宋体" w:hAnsi="宋体" w:cs="宋体"/>
          <w:noProof/>
          <w:kern w:val="0"/>
          <w:sz w:val="24"/>
        </w:rPr>
        <w:drawing>
          <wp:anchor distT="0" distB="0" distL="114300" distR="114300" simplePos="0" relativeHeight="251692032" behindDoc="0" locked="0" layoutInCell="1" allowOverlap="1">
            <wp:simplePos x="0" y="0"/>
            <wp:positionH relativeFrom="column">
              <wp:posOffset>4675505</wp:posOffset>
            </wp:positionH>
            <wp:positionV relativeFrom="paragraph">
              <wp:posOffset>1343025</wp:posOffset>
            </wp:positionV>
            <wp:extent cx="844550" cy="1270000"/>
            <wp:effectExtent l="19050" t="0" r="0" b="0"/>
            <wp:wrapSquare wrapText="bothSides"/>
            <wp:docPr id="3" name="图片 1" descr="http://www.hnlky.cn/upfile/2015011309513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nlky.cn/upfile/20150113095131443.jpg"/>
                    <pic:cNvPicPr>
                      <a:picLocks noChangeAspect="1" noChangeArrowheads="1"/>
                    </pic:cNvPicPr>
                  </pic:nvPicPr>
                  <pic:blipFill>
                    <a:blip r:embed="rId14" cstate="print"/>
                    <a:srcRect/>
                    <a:stretch>
                      <a:fillRect/>
                    </a:stretch>
                  </pic:blipFill>
                  <pic:spPr bwMode="auto">
                    <a:xfrm>
                      <a:off x="0" y="0"/>
                      <a:ext cx="844550" cy="1270000"/>
                    </a:xfrm>
                    <a:prstGeom prst="rect">
                      <a:avLst/>
                    </a:prstGeom>
                    <a:noFill/>
                    <a:ln w="9525">
                      <a:noFill/>
                      <a:miter lim="800000"/>
                      <a:headEnd/>
                      <a:tailEnd/>
                    </a:ln>
                  </pic:spPr>
                </pic:pic>
              </a:graphicData>
            </a:graphic>
          </wp:anchor>
        </w:drawing>
      </w:r>
      <w:r>
        <w:rPr>
          <w:rFonts w:ascii="宋体" w:hAnsi="宋体" w:cs="宋体"/>
          <w:noProof/>
          <w:kern w:val="0"/>
          <w:sz w:val="24"/>
        </w:rPr>
        <w:drawing>
          <wp:anchor distT="0" distB="0" distL="114300" distR="114300" simplePos="0" relativeHeight="251693056" behindDoc="0" locked="0" layoutInCell="1" allowOverlap="1">
            <wp:simplePos x="0" y="0"/>
            <wp:positionH relativeFrom="column">
              <wp:posOffset>3799205</wp:posOffset>
            </wp:positionH>
            <wp:positionV relativeFrom="paragraph">
              <wp:posOffset>1343025</wp:posOffset>
            </wp:positionV>
            <wp:extent cx="882650" cy="1270000"/>
            <wp:effectExtent l="19050" t="0" r="0" b="0"/>
            <wp:wrapSquare wrapText="bothSides"/>
            <wp:docPr id="5"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15" cstate="print"/>
                    <a:srcRect l="13881" t="11385" r="12749" b="10968"/>
                    <a:stretch>
                      <a:fillRect/>
                    </a:stretch>
                  </pic:blipFill>
                  <pic:spPr bwMode="auto">
                    <a:xfrm>
                      <a:off x="0" y="0"/>
                      <a:ext cx="882650" cy="1270000"/>
                    </a:xfrm>
                    <a:prstGeom prst="rect">
                      <a:avLst/>
                    </a:prstGeom>
                    <a:noFill/>
                    <a:ln w="9525">
                      <a:noFill/>
                      <a:miter lim="800000"/>
                      <a:headEnd/>
                      <a:tailEnd/>
                    </a:ln>
                  </pic:spPr>
                </pic:pic>
              </a:graphicData>
            </a:graphic>
          </wp:anchor>
        </w:drawing>
      </w:r>
      <w:r w:rsidR="00DC537B">
        <w:rPr>
          <w:rFonts w:ascii="宋体" w:hAnsi="宋体" w:cs="宋体"/>
          <w:kern w:val="0"/>
          <w:sz w:val="24"/>
        </w:rPr>
        <w:pict>
          <v:shape id="文本框 2" o:spid="_x0000_s1033" type="#_x0000_t202" style="position:absolute;left:0;text-align:left;margin-left:281.1pt;margin-top:204.85pt;width:230.45pt;height:31.9pt;z-index:251678719;mso-position-horizontal-relative:text;mso-position-vertical-relative:text;mso-height-relative:margin" filled="f" stroked="f">
            <v:textbox style="mso-next-textbox:#文本框 2">
              <w:txbxContent>
                <w:p w:rsidR="00A210F6" w:rsidRDefault="009B03AC" w:rsidP="008369E8">
                  <w:pPr>
                    <w:spacing w:line="200" w:lineRule="exact"/>
                    <w:jc w:val="center"/>
                    <w:rPr>
                      <w:sz w:val="13"/>
                      <w:szCs w:val="18"/>
                    </w:rPr>
                  </w:pPr>
                  <w:r w:rsidRPr="00A210F6">
                    <w:rPr>
                      <w:rFonts w:hint="eastAsia"/>
                      <w:sz w:val="13"/>
                      <w:szCs w:val="18"/>
                    </w:rPr>
                    <w:t>中心科技成果获国家科技进步二等奖。</w:t>
                  </w:r>
                  <w:r w:rsidR="00A210F6" w:rsidRPr="00A210F6">
                    <w:rPr>
                      <w:rFonts w:hint="eastAsia"/>
                      <w:sz w:val="13"/>
                      <w:szCs w:val="18"/>
                    </w:rPr>
                    <w:t>（左）中心负责人吴义强主持；</w:t>
                  </w:r>
                </w:p>
                <w:p w:rsidR="00D655CD" w:rsidRPr="00A210F6" w:rsidRDefault="00A210F6" w:rsidP="008369E8">
                  <w:pPr>
                    <w:spacing w:line="200" w:lineRule="exact"/>
                    <w:jc w:val="center"/>
                    <w:rPr>
                      <w:sz w:val="13"/>
                      <w:szCs w:val="18"/>
                    </w:rPr>
                  </w:pPr>
                  <w:r w:rsidRPr="00A210F6">
                    <w:rPr>
                      <w:rFonts w:hint="eastAsia"/>
                      <w:sz w:val="13"/>
                      <w:szCs w:val="18"/>
                    </w:rPr>
                    <w:t>（中）协同单位湖南省林科院主持；</w:t>
                  </w:r>
                  <w:r>
                    <w:rPr>
                      <w:rFonts w:hint="eastAsia"/>
                      <w:sz w:val="13"/>
                      <w:szCs w:val="18"/>
                    </w:rPr>
                    <w:t>（右）协同单位</w:t>
                  </w:r>
                  <w:r w:rsidRPr="00A210F6">
                    <w:rPr>
                      <w:rFonts w:hint="eastAsia"/>
                      <w:sz w:val="13"/>
                      <w:szCs w:val="18"/>
                    </w:rPr>
                    <w:t>中国林业科学研究院</w:t>
                  </w:r>
                  <w:r w:rsidR="00421ECD">
                    <w:rPr>
                      <w:rFonts w:hint="eastAsia"/>
                      <w:sz w:val="13"/>
                      <w:szCs w:val="18"/>
                    </w:rPr>
                    <w:t>主持</w:t>
                  </w:r>
                </w:p>
              </w:txbxContent>
            </v:textbox>
            <w10:wrap type="square"/>
          </v:shape>
        </w:pict>
      </w:r>
      <w:r>
        <w:rPr>
          <w:rFonts w:ascii="宋体" w:hAnsi="宋体" w:cs="宋体"/>
          <w:noProof/>
          <w:kern w:val="0"/>
          <w:sz w:val="24"/>
        </w:rPr>
        <w:drawing>
          <wp:anchor distT="0" distB="0" distL="114300" distR="114300" simplePos="0" relativeHeight="251700224" behindDoc="0" locked="0" layoutInCell="1" allowOverlap="1">
            <wp:simplePos x="0" y="0"/>
            <wp:positionH relativeFrom="column">
              <wp:posOffset>3837305</wp:posOffset>
            </wp:positionH>
            <wp:positionV relativeFrom="paragraph">
              <wp:posOffset>2955925</wp:posOffset>
            </wp:positionV>
            <wp:extent cx="2520950" cy="1574800"/>
            <wp:effectExtent l="19050" t="0" r="0" b="0"/>
            <wp:wrapSquare wrapText="bothSides"/>
            <wp:docPr id="8" name="图片 8" descr="https://clxy.csuft.edu.cn/kxyj/kypt/201711/W020171123736296947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xy.csuft.edu.cn/kxyj/kypt/201711/W020171123736296947636.png"/>
                    <pic:cNvPicPr>
                      <a:picLocks noChangeAspect="1" noChangeArrowheads="1"/>
                    </pic:cNvPicPr>
                  </pic:nvPicPr>
                  <pic:blipFill>
                    <a:blip r:embed="rId16" cstate="print"/>
                    <a:srcRect l="63832" t="74024" r="1977" b="10363"/>
                    <a:stretch>
                      <a:fillRect/>
                    </a:stretch>
                  </pic:blipFill>
                  <pic:spPr bwMode="auto">
                    <a:xfrm>
                      <a:off x="0" y="0"/>
                      <a:ext cx="2520950" cy="1574800"/>
                    </a:xfrm>
                    <a:prstGeom prst="rect">
                      <a:avLst/>
                    </a:prstGeom>
                    <a:noFill/>
                    <a:ln w="9525">
                      <a:noFill/>
                      <a:miter lim="800000"/>
                      <a:headEnd/>
                      <a:tailEnd/>
                    </a:ln>
                  </pic:spPr>
                </pic:pic>
              </a:graphicData>
            </a:graphic>
          </wp:anchor>
        </w:drawing>
      </w:r>
      <w:r w:rsidR="001A3340" w:rsidRPr="006D61FE">
        <w:rPr>
          <w:rFonts w:ascii="Times New Roman" w:hAnsi="宋体" w:cs="Times New Roman"/>
          <w:kern w:val="0"/>
          <w:sz w:val="24"/>
        </w:rPr>
        <w:t>近年来，中心先后承担国家</w:t>
      </w:r>
      <w:r w:rsidR="001A3340">
        <w:rPr>
          <w:rFonts w:ascii="Times New Roman" w:hAnsi="Times New Roman" w:cs="Times New Roman" w:hint="eastAsia"/>
          <w:kern w:val="0"/>
          <w:sz w:val="24"/>
        </w:rPr>
        <w:t>“</w:t>
      </w:r>
      <w:r w:rsidR="001A3340" w:rsidRPr="006D61FE">
        <w:rPr>
          <w:rFonts w:ascii="Times New Roman" w:hAnsi="宋体" w:cs="Times New Roman"/>
          <w:kern w:val="0"/>
          <w:sz w:val="24"/>
        </w:rPr>
        <w:t>十三五</w:t>
      </w:r>
      <w:r w:rsidR="001A3340">
        <w:rPr>
          <w:rFonts w:ascii="Times New Roman" w:hAnsi="Times New Roman" w:cs="Times New Roman" w:hint="eastAsia"/>
          <w:kern w:val="0"/>
          <w:sz w:val="24"/>
        </w:rPr>
        <w:t>”</w:t>
      </w:r>
      <w:r w:rsidR="001A3340" w:rsidRPr="006D61FE">
        <w:rPr>
          <w:rFonts w:ascii="Times New Roman" w:hAnsi="宋体" w:cs="Times New Roman"/>
          <w:kern w:val="0"/>
          <w:sz w:val="24"/>
        </w:rPr>
        <w:t>重点研发项目、国家</w:t>
      </w:r>
      <w:r w:rsidR="001A3340">
        <w:rPr>
          <w:rFonts w:ascii="Times New Roman" w:hAnsi="宋体" w:cs="Times New Roman" w:hint="eastAsia"/>
          <w:kern w:val="0"/>
          <w:sz w:val="24"/>
        </w:rPr>
        <w:t>“</w:t>
      </w:r>
      <w:r w:rsidR="001A3340" w:rsidRPr="006D61FE">
        <w:rPr>
          <w:rFonts w:ascii="Times New Roman" w:hAnsi="宋体" w:cs="Times New Roman"/>
          <w:kern w:val="0"/>
          <w:sz w:val="24"/>
        </w:rPr>
        <w:t>十二五</w:t>
      </w:r>
      <w:r w:rsidR="001A3340">
        <w:rPr>
          <w:rFonts w:ascii="Times New Roman" w:hAnsi="宋体" w:cs="Times New Roman" w:hint="eastAsia"/>
          <w:kern w:val="0"/>
          <w:sz w:val="24"/>
        </w:rPr>
        <w:t>”</w:t>
      </w:r>
      <w:r w:rsidR="001A3340" w:rsidRPr="006D61FE">
        <w:rPr>
          <w:rFonts w:ascii="Times New Roman" w:hAnsi="宋体" w:cs="Times New Roman"/>
          <w:kern w:val="0"/>
          <w:sz w:val="24"/>
        </w:rPr>
        <w:t>科技支撑计划项目、国家自然科学基金重大项目课题</w:t>
      </w:r>
      <w:r w:rsidR="001A3340" w:rsidRPr="006D61FE">
        <w:rPr>
          <w:rFonts w:ascii="Times New Roman" w:hAnsi="Times New Roman" w:cs="Times New Roman"/>
          <w:kern w:val="0"/>
          <w:sz w:val="24"/>
        </w:rPr>
        <w:t>/</w:t>
      </w:r>
      <w:r w:rsidR="001A3340" w:rsidRPr="006D61FE">
        <w:rPr>
          <w:rFonts w:ascii="Times New Roman" w:hAnsi="宋体" w:cs="Times New Roman"/>
          <w:kern w:val="0"/>
          <w:sz w:val="24"/>
        </w:rPr>
        <w:t>重点项目、国家国际科技合作专项、国家林业公益性行业科研重大专项、湖南省科技重大</w:t>
      </w:r>
      <w:proofErr w:type="gramStart"/>
      <w:r w:rsidR="001A3340" w:rsidRPr="006D61FE">
        <w:rPr>
          <w:rFonts w:ascii="Times New Roman" w:hAnsi="宋体" w:cs="Times New Roman"/>
          <w:kern w:val="0"/>
          <w:sz w:val="24"/>
        </w:rPr>
        <w:t>专项等</w:t>
      </w:r>
      <w:proofErr w:type="gramEnd"/>
      <w:r w:rsidR="001A3340" w:rsidRPr="006D61FE">
        <w:rPr>
          <w:rFonts w:ascii="Times New Roman" w:hAnsi="宋体" w:cs="Times New Roman"/>
          <w:kern w:val="0"/>
          <w:sz w:val="24"/>
        </w:rPr>
        <w:t>国家、省部级科研项目</w:t>
      </w:r>
      <w:r w:rsidR="001A3340" w:rsidRPr="006D61FE">
        <w:rPr>
          <w:rFonts w:ascii="Times New Roman" w:hAnsi="Times New Roman" w:cs="Times New Roman"/>
          <w:kern w:val="0"/>
          <w:sz w:val="24"/>
        </w:rPr>
        <w:t>150</w:t>
      </w:r>
      <w:r w:rsidR="001A3340" w:rsidRPr="006D61FE">
        <w:rPr>
          <w:rFonts w:ascii="Times New Roman" w:hAnsi="宋体" w:cs="Times New Roman"/>
          <w:kern w:val="0"/>
          <w:sz w:val="24"/>
        </w:rPr>
        <w:t>余项，</w:t>
      </w:r>
      <w:r w:rsidR="001A3340">
        <w:rPr>
          <w:rFonts w:ascii="Times New Roman" w:hAnsi="宋体" w:cs="Times New Roman" w:hint="eastAsia"/>
          <w:kern w:val="0"/>
          <w:sz w:val="24"/>
        </w:rPr>
        <w:t>申请</w:t>
      </w:r>
      <w:r w:rsidR="001A3340">
        <w:rPr>
          <w:rFonts w:ascii="Times New Roman" w:hAnsi="宋体" w:cs="Times New Roman" w:hint="eastAsia"/>
          <w:kern w:val="0"/>
          <w:sz w:val="24"/>
        </w:rPr>
        <w:t>/</w:t>
      </w:r>
      <w:r w:rsidR="001A3340" w:rsidRPr="006D61FE">
        <w:rPr>
          <w:rFonts w:ascii="Times New Roman" w:hAnsi="宋体" w:cs="Times New Roman"/>
          <w:kern w:val="0"/>
          <w:sz w:val="24"/>
        </w:rPr>
        <w:t>授权国家发明专利</w:t>
      </w:r>
      <w:r w:rsidR="001A3340">
        <w:rPr>
          <w:rFonts w:ascii="Times New Roman" w:hAnsi="Times New Roman" w:cs="Times New Roman" w:hint="eastAsia"/>
          <w:kern w:val="0"/>
          <w:sz w:val="24"/>
        </w:rPr>
        <w:t>10</w:t>
      </w:r>
      <w:r w:rsidR="001A3340" w:rsidRPr="006D61FE">
        <w:rPr>
          <w:rFonts w:ascii="Times New Roman" w:hAnsi="Times New Roman" w:cs="Times New Roman"/>
          <w:kern w:val="0"/>
          <w:sz w:val="24"/>
        </w:rPr>
        <w:t>0</w:t>
      </w:r>
      <w:r w:rsidR="001A3340" w:rsidRPr="006D61FE">
        <w:rPr>
          <w:rFonts w:ascii="Times New Roman" w:hAnsi="宋体" w:cs="Times New Roman"/>
          <w:kern w:val="0"/>
          <w:sz w:val="24"/>
        </w:rPr>
        <w:t>余件。由本中心完成的科研成果</w:t>
      </w:r>
      <w:r w:rsidR="001A3340">
        <w:rPr>
          <w:rFonts w:ascii="Times New Roman" w:hAnsi="Times New Roman" w:cs="Times New Roman" w:hint="eastAsia"/>
          <w:kern w:val="0"/>
          <w:sz w:val="24"/>
        </w:rPr>
        <w:t>“</w:t>
      </w:r>
      <w:r w:rsidR="001A3340" w:rsidRPr="006D61FE">
        <w:rPr>
          <w:rFonts w:ascii="Times New Roman" w:hAnsi="宋体" w:cs="Times New Roman"/>
          <w:kern w:val="0"/>
          <w:sz w:val="24"/>
        </w:rPr>
        <w:t>无烟不燃木基复合材料制造关键技术研究与应用</w:t>
      </w:r>
      <w:r w:rsidR="001A3340">
        <w:rPr>
          <w:rFonts w:ascii="Times New Roman" w:hAnsi="Times New Roman" w:cs="Times New Roman" w:hint="eastAsia"/>
          <w:kern w:val="0"/>
          <w:sz w:val="24"/>
        </w:rPr>
        <w:t>”</w:t>
      </w:r>
      <w:r w:rsidR="001A3340" w:rsidRPr="006D61FE">
        <w:rPr>
          <w:rFonts w:ascii="Times New Roman" w:hAnsi="宋体" w:cs="Times New Roman"/>
          <w:kern w:val="0"/>
          <w:sz w:val="24"/>
        </w:rPr>
        <w:t>、</w:t>
      </w:r>
      <w:r w:rsidR="001A3340">
        <w:rPr>
          <w:rFonts w:ascii="Times New Roman" w:hAnsi="宋体" w:cs="Times New Roman" w:hint="eastAsia"/>
          <w:kern w:val="0"/>
          <w:sz w:val="24"/>
        </w:rPr>
        <w:t>“</w:t>
      </w:r>
      <w:r w:rsidR="001A3340" w:rsidRPr="006D61FE">
        <w:rPr>
          <w:rFonts w:ascii="Times New Roman" w:hAnsi="宋体" w:cs="Times New Roman"/>
          <w:kern w:val="0"/>
          <w:sz w:val="24"/>
        </w:rPr>
        <w:t>非耕地工业油料植物高产新品种选育及高值化利用技术</w:t>
      </w:r>
      <w:r w:rsidR="001A3340">
        <w:rPr>
          <w:rFonts w:ascii="Times New Roman" w:hAnsi="宋体" w:cs="Times New Roman" w:hint="eastAsia"/>
          <w:kern w:val="0"/>
          <w:sz w:val="24"/>
        </w:rPr>
        <w:t>”</w:t>
      </w:r>
      <w:r w:rsidR="001A3340" w:rsidRPr="006D61FE">
        <w:rPr>
          <w:rFonts w:ascii="Times New Roman" w:hAnsi="宋体" w:cs="Times New Roman"/>
          <w:kern w:val="0"/>
          <w:sz w:val="24"/>
        </w:rPr>
        <w:t>、</w:t>
      </w:r>
      <w:r w:rsidR="001A3340">
        <w:rPr>
          <w:rFonts w:ascii="Times New Roman" w:hAnsi="Times New Roman" w:cs="Times New Roman" w:hint="eastAsia"/>
          <w:kern w:val="0"/>
          <w:sz w:val="24"/>
        </w:rPr>
        <w:t>“</w:t>
      </w:r>
      <w:r w:rsidR="001A3340" w:rsidRPr="006D61FE">
        <w:rPr>
          <w:rFonts w:ascii="Times New Roman" w:hAnsi="宋体" w:cs="Times New Roman"/>
          <w:kern w:val="0"/>
          <w:sz w:val="24"/>
        </w:rPr>
        <w:t>高性能竹基纤维复合材料制造关键技术与应用</w:t>
      </w:r>
      <w:r w:rsidR="001A3340">
        <w:rPr>
          <w:rFonts w:ascii="Times New Roman" w:hAnsi="Times New Roman" w:cs="Times New Roman" w:hint="eastAsia"/>
          <w:kern w:val="0"/>
          <w:sz w:val="24"/>
        </w:rPr>
        <w:t>”</w:t>
      </w:r>
      <w:r w:rsidR="001A3340" w:rsidRPr="006D61FE">
        <w:rPr>
          <w:rFonts w:ascii="Times New Roman" w:hAnsi="宋体" w:cs="Times New Roman"/>
          <w:kern w:val="0"/>
          <w:sz w:val="24"/>
        </w:rPr>
        <w:t>分别获</w:t>
      </w:r>
      <w:r w:rsidR="001A3340" w:rsidRPr="006D61FE">
        <w:rPr>
          <w:rFonts w:ascii="Times New Roman" w:hAnsi="Times New Roman" w:cs="Times New Roman"/>
          <w:kern w:val="0"/>
          <w:sz w:val="24"/>
        </w:rPr>
        <w:t>2010</w:t>
      </w:r>
      <w:r w:rsidR="001A3340" w:rsidRPr="006D61FE">
        <w:rPr>
          <w:rFonts w:ascii="Times New Roman" w:hAnsi="宋体" w:cs="Times New Roman"/>
          <w:kern w:val="0"/>
          <w:sz w:val="24"/>
        </w:rPr>
        <w:t>、</w:t>
      </w:r>
      <w:r w:rsidR="001A3340" w:rsidRPr="006D61FE">
        <w:rPr>
          <w:rFonts w:ascii="Times New Roman" w:hAnsi="Times New Roman" w:cs="Times New Roman"/>
          <w:kern w:val="0"/>
          <w:sz w:val="24"/>
        </w:rPr>
        <w:t>2014</w:t>
      </w:r>
      <w:r w:rsidR="001A3340" w:rsidRPr="006D61FE">
        <w:rPr>
          <w:rFonts w:ascii="Times New Roman" w:hAnsi="宋体" w:cs="Times New Roman"/>
          <w:kern w:val="0"/>
          <w:sz w:val="24"/>
        </w:rPr>
        <w:t>、</w:t>
      </w:r>
      <w:r w:rsidR="001A3340" w:rsidRPr="006D61FE">
        <w:rPr>
          <w:rFonts w:ascii="Times New Roman" w:hAnsi="Times New Roman" w:cs="Times New Roman"/>
          <w:kern w:val="0"/>
          <w:sz w:val="24"/>
        </w:rPr>
        <w:t>2015</w:t>
      </w:r>
      <w:r w:rsidR="001A3340" w:rsidRPr="006D61FE">
        <w:rPr>
          <w:rFonts w:ascii="Times New Roman" w:hAnsi="宋体" w:cs="Times New Roman"/>
          <w:kern w:val="0"/>
          <w:sz w:val="24"/>
        </w:rPr>
        <w:t>年国家科学技术进步二等奖</w:t>
      </w:r>
      <w:r w:rsidR="001A3340">
        <w:rPr>
          <w:rFonts w:ascii="Times New Roman" w:hAnsi="宋体" w:cs="Times New Roman" w:hint="eastAsia"/>
          <w:kern w:val="0"/>
          <w:sz w:val="24"/>
        </w:rPr>
        <w:t>，</w:t>
      </w:r>
      <w:r w:rsidR="001A3340" w:rsidRPr="006D61FE">
        <w:rPr>
          <w:rFonts w:ascii="Times New Roman" w:hAnsi="宋体" w:cs="Times New Roman"/>
          <w:kern w:val="0"/>
          <w:sz w:val="24"/>
        </w:rPr>
        <w:t>同时还获得湖南省科技进步一等奖、教育部科技进步二等奖等科技奖励</w:t>
      </w:r>
      <w:r w:rsidR="001A3340" w:rsidRPr="006D61FE">
        <w:rPr>
          <w:rFonts w:ascii="Times New Roman" w:hAnsi="Times New Roman" w:cs="Times New Roman"/>
          <w:kern w:val="0"/>
          <w:sz w:val="24"/>
        </w:rPr>
        <w:t>20</w:t>
      </w:r>
      <w:r w:rsidR="001A3340" w:rsidRPr="006D61FE">
        <w:rPr>
          <w:rFonts w:ascii="Times New Roman" w:hAnsi="宋体" w:cs="Times New Roman"/>
          <w:kern w:val="0"/>
          <w:sz w:val="24"/>
        </w:rPr>
        <w:t>余项。中心创新技术与成果辐射广东、福建、浙江、安徽、湖北、河南、江西等十余个省市，</w:t>
      </w:r>
      <w:r w:rsidR="001A3340" w:rsidRPr="006D61FE">
        <w:rPr>
          <w:rFonts w:ascii="Times New Roman" w:hAnsi="宋体" w:cs="Times New Roman" w:hint="eastAsia"/>
          <w:kern w:val="0"/>
          <w:sz w:val="24"/>
        </w:rPr>
        <w:t>转化科技成果</w:t>
      </w:r>
      <w:r w:rsidR="001A3340" w:rsidRPr="006D61FE">
        <w:rPr>
          <w:rFonts w:ascii="Times New Roman" w:hAnsi="宋体" w:cs="Times New Roman" w:hint="eastAsia"/>
          <w:kern w:val="0"/>
          <w:sz w:val="24"/>
        </w:rPr>
        <w:t>100</w:t>
      </w:r>
      <w:r w:rsidR="001A3340" w:rsidRPr="006D61FE">
        <w:rPr>
          <w:rFonts w:ascii="Times New Roman" w:hAnsi="宋体" w:cs="Times New Roman" w:hint="eastAsia"/>
          <w:kern w:val="0"/>
          <w:sz w:val="24"/>
        </w:rPr>
        <w:t>余项，创造直接经济效益近</w:t>
      </w:r>
      <w:r w:rsidR="001A3340" w:rsidRPr="006D61FE">
        <w:rPr>
          <w:rFonts w:ascii="Times New Roman" w:hAnsi="宋体" w:cs="Times New Roman" w:hint="eastAsia"/>
          <w:kern w:val="0"/>
          <w:sz w:val="24"/>
        </w:rPr>
        <w:t>200</w:t>
      </w:r>
      <w:r w:rsidR="001A3340" w:rsidRPr="006D61FE">
        <w:rPr>
          <w:rFonts w:ascii="Times New Roman" w:hAnsi="宋体" w:cs="Times New Roman" w:hint="eastAsia"/>
          <w:kern w:val="0"/>
          <w:sz w:val="24"/>
        </w:rPr>
        <w:t>亿元，辐射带动经济效益</w:t>
      </w:r>
      <w:r w:rsidR="001A3340" w:rsidRPr="006D61FE">
        <w:rPr>
          <w:rFonts w:ascii="Times New Roman" w:hAnsi="宋体" w:cs="Times New Roman" w:hint="eastAsia"/>
          <w:kern w:val="0"/>
          <w:sz w:val="24"/>
        </w:rPr>
        <w:t>1000</w:t>
      </w:r>
      <w:r w:rsidR="001A3340" w:rsidRPr="006D61FE">
        <w:rPr>
          <w:rFonts w:ascii="Times New Roman" w:hAnsi="宋体" w:cs="Times New Roman" w:hint="eastAsia"/>
          <w:kern w:val="0"/>
          <w:sz w:val="24"/>
        </w:rPr>
        <w:t>余亿元，为我国林业产业结构调整和行业科技进步提供重大技术支撑，产生了重大经济、社会和生态效益。技术支撑，产生了重大经济、社会和生态效益。</w:t>
      </w:r>
    </w:p>
    <w:p w:rsidR="001A3340" w:rsidRPr="004D5067" w:rsidRDefault="00DC537B" w:rsidP="003D6FF1">
      <w:pPr>
        <w:spacing w:line="360" w:lineRule="exact"/>
        <w:ind w:firstLineChars="200" w:firstLine="480"/>
      </w:pPr>
      <w:r>
        <w:rPr>
          <w:rFonts w:ascii="宋体" w:hAnsi="宋体" w:cs="宋体"/>
          <w:noProof/>
          <w:kern w:val="0"/>
          <w:sz w:val="24"/>
        </w:rPr>
        <w:pict>
          <v:shape id="_x0000_s1046" type="#_x0000_t202" style="position:absolute;left:0;text-align:left;margin-left:295.1pt;margin-top:99.75pt;width:208.6pt;height:28pt;z-index:251701248;mso-height-relative:margin" filled="f" stroked="f">
            <v:textbox style="mso-next-textbox:#_x0000_s1046">
              <w:txbxContent>
                <w:p w:rsidR="00421ECD" w:rsidRPr="00A210F6" w:rsidRDefault="00421ECD" w:rsidP="008369E8">
                  <w:pPr>
                    <w:spacing w:line="200" w:lineRule="exact"/>
                    <w:jc w:val="center"/>
                    <w:rPr>
                      <w:sz w:val="13"/>
                      <w:szCs w:val="18"/>
                    </w:rPr>
                  </w:pPr>
                  <w:r>
                    <w:rPr>
                      <w:rFonts w:hint="eastAsia"/>
                      <w:sz w:val="13"/>
                      <w:szCs w:val="18"/>
                    </w:rPr>
                    <w:t>中心教师与学生赴协同单位宜</w:t>
                  </w:r>
                  <w:proofErr w:type="gramStart"/>
                  <w:r>
                    <w:rPr>
                      <w:rFonts w:hint="eastAsia"/>
                      <w:sz w:val="13"/>
                      <w:szCs w:val="18"/>
                    </w:rPr>
                    <w:t>华生活</w:t>
                  </w:r>
                  <w:proofErr w:type="gramEnd"/>
                  <w:r>
                    <w:rPr>
                      <w:rFonts w:hint="eastAsia"/>
                      <w:sz w:val="13"/>
                      <w:szCs w:val="18"/>
                    </w:rPr>
                    <w:t>科技股份有限公司生产实践、推广技术并开展合作研究</w:t>
                  </w:r>
                </w:p>
              </w:txbxContent>
            </v:textbox>
            <w10:wrap type="square"/>
          </v:shape>
        </w:pict>
      </w:r>
      <w:r w:rsidR="001A3340" w:rsidRPr="004D5067">
        <w:rPr>
          <w:rFonts w:ascii="宋体" w:hAnsi="宋体" w:cs="宋体" w:hint="eastAsia"/>
          <w:kern w:val="0"/>
          <w:sz w:val="24"/>
        </w:rPr>
        <w:t>目前，中心在高效阻燃木竹基复合材料、木竹基复合材料低碳制造、木竹</w:t>
      </w:r>
      <w:proofErr w:type="gramStart"/>
      <w:r w:rsidR="001A3340" w:rsidRPr="004D5067">
        <w:rPr>
          <w:rFonts w:ascii="宋体" w:hAnsi="宋体" w:cs="宋体" w:hint="eastAsia"/>
          <w:kern w:val="0"/>
          <w:sz w:val="24"/>
        </w:rPr>
        <w:t>基结构</w:t>
      </w:r>
      <w:proofErr w:type="gramEnd"/>
      <w:r w:rsidR="001A3340" w:rsidRPr="004D5067">
        <w:rPr>
          <w:rFonts w:ascii="宋体" w:hAnsi="宋体" w:cs="宋体" w:hint="eastAsia"/>
          <w:kern w:val="0"/>
          <w:sz w:val="24"/>
        </w:rPr>
        <w:t>工程材、木竹资源全生物量利用及高品位化学加工等领域取得重大突破，这些研究成果对于加速我省竹木加工企业自主创新，促进相关产业技术集成与成果转化，推进林业产业结构调整与升级，为解决湖南“三农”问题、推动湖南四化两型社会建设、实现</w:t>
      </w:r>
      <w:r w:rsidR="001A3340">
        <w:rPr>
          <w:rFonts w:ascii="宋体" w:hAnsi="宋体" w:cs="宋体" w:hint="eastAsia"/>
          <w:kern w:val="0"/>
          <w:sz w:val="24"/>
        </w:rPr>
        <w:t>“</w:t>
      </w:r>
      <w:r w:rsidR="001A3340" w:rsidRPr="004D5067">
        <w:rPr>
          <w:rFonts w:ascii="宋体" w:hAnsi="宋体" w:cs="宋体" w:hint="eastAsia"/>
          <w:kern w:val="0"/>
          <w:sz w:val="24"/>
        </w:rPr>
        <w:t>绿色湖南梦</w:t>
      </w:r>
      <w:r w:rsidR="001A3340">
        <w:rPr>
          <w:rFonts w:ascii="宋体" w:hAnsi="宋体" w:cs="宋体" w:hint="eastAsia"/>
          <w:kern w:val="0"/>
          <w:sz w:val="24"/>
        </w:rPr>
        <w:t>”</w:t>
      </w:r>
      <w:r w:rsidR="001A3340" w:rsidRPr="004D5067">
        <w:rPr>
          <w:rFonts w:ascii="宋体" w:hAnsi="宋体" w:cs="宋体" w:hint="eastAsia"/>
          <w:kern w:val="0"/>
          <w:sz w:val="24"/>
        </w:rPr>
        <w:t>做出重要贡献。</w:t>
      </w:r>
    </w:p>
    <w:sectPr w:rsidR="001A3340" w:rsidRPr="004D5067" w:rsidSect="00421ECD">
      <w:pgSz w:w="11907" w:h="19278"/>
      <w:pgMar w:top="1021" w:right="907" w:bottom="1021" w:left="90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37B" w:rsidRDefault="00DC537B" w:rsidP="00040FA6">
      <w:r>
        <w:separator/>
      </w:r>
    </w:p>
  </w:endnote>
  <w:endnote w:type="continuationSeparator" w:id="0">
    <w:p w:rsidR="00DC537B" w:rsidRDefault="00DC537B" w:rsidP="0004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37B" w:rsidRDefault="00DC537B" w:rsidP="00040FA6">
      <w:r>
        <w:separator/>
      </w:r>
    </w:p>
  </w:footnote>
  <w:footnote w:type="continuationSeparator" w:id="0">
    <w:p w:rsidR="00DC537B" w:rsidRDefault="00DC537B" w:rsidP="00040F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95419"/>
    <w:rsid w:val="00011522"/>
    <w:rsid w:val="00040FA6"/>
    <w:rsid w:val="00056E71"/>
    <w:rsid w:val="00067FAC"/>
    <w:rsid w:val="00093899"/>
    <w:rsid w:val="000E48D2"/>
    <w:rsid w:val="000F265F"/>
    <w:rsid w:val="00173997"/>
    <w:rsid w:val="0018625F"/>
    <w:rsid w:val="00192221"/>
    <w:rsid w:val="001A3340"/>
    <w:rsid w:val="001C17A1"/>
    <w:rsid w:val="001E53F8"/>
    <w:rsid w:val="00230B30"/>
    <w:rsid w:val="002F7C2E"/>
    <w:rsid w:val="0034477A"/>
    <w:rsid w:val="00372DD2"/>
    <w:rsid w:val="003D6FF1"/>
    <w:rsid w:val="00421ECD"/>
    <w:rsid w:val="00450F40"/>
    <w:rsid w:val="004D5067"/>
    <w:rsid w:val="004D6A01"/>
    <w:rsid w:val="004E2458"/>
    <w:rsid w:val="00565B7C"/>
    <w:rsid w:val="005C0CCD"/>
    <w:rsid w:val="005C49E9"/>
    <w:rsid w:val="005E343C"/>
    <w:rsid w:val="006260C8"/>
    <w:rsid w:val="0065484F"/>
    <w:rsid w:val="00686AC3"/>
    <w:rsid w:val="006952C4"/>
    <w:rsid w:val="006D1BD4"/>
    <w:rsid w:val="006D61FE"/>
    <w:rsid w:val="0070505D"/>
    <w:rsid w:val="007653A6"/>
    <w:rsid w:val="007B1C2A"/>
    <w:rsid w:val="00802975"/>
    <w:rsid w:val="00807717"/>
    <w:rsid w:val="008369E8"/>
    <w:rsid w:val="00887FD1"/>
    <w:rsid w:val="008A266B"/>
    <w:rsid w:val="008C5315"/>
    <w:rsid w:val="008D008A"/>
    <w:rsid w:val="00912447"/>
    <w:rsid w:val="00964618"/>
    <w:rsid w:val="0098535B"/>
    <w:rsid w:val="009B03AC"/>
    <w:rsid w:val="009B48C6"/>
    <w:rsid w:val="009C1EE5"/>
    <w:rsid w:val="00A210F6"/>
    <w:rsid w:val="00A41F03"/>
    <w:rsid w:val="00A724F9"/>
    <w:rsid w:val="00A77128"/>
    <w:rsid w:val="00A95419"/>
    <w:rsid w:val="00AD3D7C"/>
    <w:rsid w:val="00AE03F9"/>
    <w:rsid w:val="00AE7CBD"/>
    <w:rsid w:val="00B04142"/>
    <w:rsid w:val="00B133FA"/>
    <w:rsid w:val="00B465FA"/>
    <w:rsid w:val="00BF40BF"/>
    <w:rsid w:val="00C0024E"/>
    <w:rsid w:val="00C75ECB"/>
    <w:rsid w:val="00C938B2"/>
    <w:rsid w:val="00CE3207"/>
    <w:rsid w:val="00D02BFA"/>
    <w:rsid w:val="00D10D32"/>
    <w:rsid w:val="00D655CD"/>
    <w:rsid w:val="00D8419A"/>
    <w:rsid w:val="00DC537B"/>
    <w:rsid w:val="00DD55A7"/>
    <w:rsid w:val="00E10866"/>
    <w:rsid w:val="00E22018"/>
    <w:rsid w:val="00E7181D"/>
    <w:rsid w:val="00EA5AB6"/>
    <w:rsid w:val="00EB5C3C"/>
    <w:rsid w:val="00ED4AB3"/>
    <w:rsid w:val="00ED6DBB"/>
    <w:rsid w:val="00ED7E28"/>
    <w:rsid w:val="00F062B6"/>
    <w:rsid w:val="00F56693"/>
    <w:rsid w:val="00F66A9D"/>
    <w:rsid w:val="00F717F3"/>
    <w:rsid w:val="00FC7BCA"/>
    <w:rsid w:val="00FE799A"/>
    <w:rsid w:val="03E064B7"/>
    <w:rsid w:val="04CD768D"/>
    <w:rsid w:val="0DED436F"/>
    <w:rsid w:val="1B3E7752"/>
    <w:rsid w:val="200E4DF2"/>
    <w:rsid w:val="2EE060C1"/>
    <w:rsid w:val="3A036A5B"/>
    <w:rsid w:val="59CB7AA1"/>
    <w:rsid w:val="5F3A2CAB"/>
    <w:rsid w:val="5FA43F2D"/>
    <w:rsid w:val="63B3223F"/>
    <w:rsid w:val="7B7B08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nhideWhenUsed="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55C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655CD"/>
    <w:rPr>
      <w:sz w:val="18"/>
      <w:szCs w:val="18"/>
    </w:rPr>
  </w:style>
  <w:style w:type="paragraph" w:styleId="a4">
    <w:name w:val="footer"/>
    <w:basedOn w:val="a"/>
    <w:link w:val="Char0"/>
    <w:rsid w:val="00D655CD"/>
    <w:pPr>
      <w:tabs>
        <w:tab w:val="center" w:pos="4153"/>
        <w:tab w:val="right" w:pos="8306"/>
      </w:tabs>
      <w:snapToGrid w:val="0"/>
      <w:jc w:val="left"/>
    </w:pPr>
    <w:rPr>
      <w:sz w:val="18"/>
      <w:szCs w:val="18"/>
    </w:rPr>
  </w:style>
  <w:style w:type="paragraph" w:styleId="a5">
    <w:name w:val="header"/>
    <w:basedOn w:val="a"/>
    <w:link w:val="Char1"/>
    <w:rsid w:val="00D655CD"/>
    <w:pPr>
      <w:pBdr>
        <w:bottom w:val="single" w:sz="6" w:space="1" w:color="auto"/>
      </w:pBdr>
      <w:tabs>
        <w:tab w:val="center" w:pos="4153"/>
        <w:tab w:val="right" w:pos="8306"/>
      </w:tabs>
      <w:snapToGrid w:val="0"/>
      <w:jc w:val="center"/>
    </w:pPr>
    <w:rPr>
      <w:sz w:val="18"/>
      <w:szCs w:val="18"/>
    </w:rPr>
  </w:style>
  <w:style w:type="paragraph" w:styleId="2">
    <w:name w:val="toc 2"/>
    <w:basedOn w:val="a"/>
    <w:next w:val="a"/>
    <w:unhideWhenUsed/>
    <w:rsid w:val="00D655CD"/>
    <w:pPr>
      <w:ind w:leftChars="200" w:left="420"/>
    </w:pPr>
    <w:rPr>
      <w:rFonts w:ascii="Times New Roman" w:eastAsia="宋体" w:hAnsi="Times New Roman" w:cs="Times New Roman"/>
    </w:rPr>
  </w:style>
  <w:style w:type="paragraph" w:styleId="a6">
    <w:name w:val="Normal (Web)"/>
    <w:basedOn w:val="a"/>
    <w:uiPriority w:val="99"/>
    <w:unhideWhenUsed/>
    <w:rsid w:val="00D655CD"/>
    <w:pPr>
      <w:widowControl/>
      <w:spacing w:before="100" w:beforeAutospacing="1" w:after="100" w:afterAutospacing="1"/>
      <w:jc w:val="left"/>
    </w:pPr>
    <w:rPr>
      <w:rFonts w:ascii="宋体" w:eastAsia="宋体" w:hAnsi="宋体" w:cs="宋体"/>
      <w:kern w:val="0"/>
      <w:sz w:val="24"/>
    </w:rPr>
  </w:style>
  <w:style w:type="character" w:customStyle="1" w:styleId="Char1">
    <w:name w:val="页眉 Char"/>
    <w:basedOn w:val="a0"/>
    <w:link w:val="a5"/>
    <w:rsid w:val="00D655CD"/>
    <w:rPr>
      <w:kern w:val="2"/>
      <w:sz w:val="18"/>
      <w:szCs w:val="18"/>
    </w:rPr>
  </w:style>
  <w:style w:type="character" w:customStyle="1" w:styleId="Char0">
    <w:name w:val="页脚 Char"/>
    <w:basedOn w:val="a0"/>
    <w:link w:val="a4"/>
    <w:rsid w:val="00D655CD"/>
    <w:rPr>
      <w:kern w:val="2"/>
      <w:sz w:val="18"/>
      <w:szCs w:val="18"/>
    </w:rPr>
  </w:style>
  <w:style w:type="character" w:customStyle="1" w:styleId="Char">
    <w:name w:val="批注框文本 Char"/>
    <w:basedOn w:val="a0"/>
    <w:link w:val="a3"/>
    <w:rsid w:val="00D655CD"/>
    <w:rPr>
      <w:kern w:val="2"/>
      <w:sz w:val="18"/>
      <w:szCs w:val="18"/>
    </w:rPr>
  </w:style>
  <w:style w:type="paragraph" w:styleId="a7">
    <w:name w:val="Intense Quote"/>
    <w:basedOn w:val="a"/>
    <w:next w:val="a"/>
    <w:link w:val="Char2"/>
    <w:uiPriority w:val="30"/>
    <w:qFormat/>
    <w:rsid w:val="00D655CD"/>
    <w:pPr>
      <w:widowControl/>
      <w:pBdr>
        <w:bottom w:val="single" w:sz="4" w:space="4" w:color="5B9BD5" w:themeColor="accent1"/>
      </w:pBdr>
      <w:spacing w:before="200" w:after="280" w:line="276" w:lineRule="auto"/>
      <w:ind w:left="936" w:right="936"/>
      <w:jc w:val="left"/>
    </w:pPr>
    <w:rPr>
      <w:b/>
      <w:bCs/>
      <w:i/>
      <w:iCs/>
      <w:color w:val="5B9BD5" w:themeColor="accent1"/>
      <w:kern w:val="0"/>
      <w:sz w:val="22"/>
      <w:szCs w:val="22"/>
    </w:rPr>
  </w:style>
  <w:style w:type="character" w:customStyle="1" w:styleId="Char2">
    <w:name w:val="明显引用 Char"/>
    <w:basedOn w:val="a0"/>
    <w:link w:val="a7"/>
    <w:uiPriority w:val="30"/>
    <w:rsid w:val="00D655CD"/>
    <w:rPr>
      <w:b/>
      <w:bCs/>
      <w:i/>
      <w:iCs/>
      <w:color w:val="5B9BD5"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734127-3346-4B92-BCDA-9875D498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196</Words>
  <Characters>1119</Characters>
  <Application>Microsoft Office Word</Application>
  <DocSecurity>0</DocSecurity>
  <Lines>9</Lines>
  <Paragraphs>2</Paragraphs>
  <ScaleCrop>false</ScaleCrop>
  <Company>http://sdwm.org</Company>
  <LinksUpToDate>false</LinksUpToDate>
  <CharactersWithSpaces>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13</cp:revision>
  <cp:lastPrinted>2021-12-02T11:21:00Z</cp:lastPrinted>
  <dcterms:created xsi:type="dcterms:W3CDTF">2021-05-11T07:40:00Z</dcterms:created>
  <dcterms:modified xsi:type="dcterms:W3CDTF">2021-12-02T12:16:00Z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